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106m2f6a06y9" w:id="0"/>
      <w:bookmarkEnd w:id="0"/>
      <w:r w:rsidDel="00000000" w:rsidR="00000000" w:rsidRPr="00000000">
        <w:rPr>
          <w:rtl w:val="0"/>
        </w:rPr>
        <w:t xml:space="preserve">GUÍA: Primeros pasos hacia la eficiencia energética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us23ie5ni2eb" w:id="1"/>
      <w:bookmarkEnd w:id="1"/>
      <w:r w:rsidDel="00000000" w:rsidR="00000000" w:rsidRPr="00000000">
        <w:rPr>
          <w:rtl w:val="0"/>
        </w:rPr>
        <w:t xml:space="preserve">ATEM Consultora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La gestión eficiente de la energía se ha convertido en un pilar fundamental para la sostenibilidad financiera y operativa de cualquier organización. Esta guía proporciona un marco estructurado para identificar oportunidades de ahorro, optimizar el consumo e implementar tecnologías limpias de manera progresiva y rentable.</w:t>
      </w:r>
    </w:p>
    <w:p w:rsidR="00000000" w:rsidDel="00000000" w:rsidP="00000000" w:rsidRDefault="00000000" w:rsidRPr="00000000" w14:paraId="00000004">
      <w:pPr>
        <w:pStyle w:val="Heading1"/>
        <w:rPr/>
      </w:pPr>
      <w:bookmarkStart w:colFirst="0" w:colLast="0" w:name="_rwjaw6h6xaub" w:id="2"/>
      <w:bookmarkEnd w:id="2"/>
      <w:r w:rsidDel="00000000" w:rsidR="00000000" w:rsidRPr="00000000">
        <w:rPr>
          <w:rtl w:val="0"/>
        </w:rPr>
        <w:t xml:space="preserve">1. Diagnóstico Energético Inicial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Antes de implementar cualquier medida correctiva, es indispensable comprender el patrón de consumo actual. El diagnóstico permite detectar ineficiencias y establecer una línea base de medición.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Análisis de facturación:</w:t>
      </w:r>
      <w:r w:rsidDel="00000000" w:rsidR="00000000" w:rsidRPr="00000000">
        <w:rPr>
          <w:rtl w:val="0"/>
        </w:rPr>
        <w:t xml:space="preserve"> Revisión de las facturas del último año para identificar picos de demanda, consumos reactivos y penalizaciones tarifarias.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Inventario de cargas:</w:t>
      </w:r>
      <w:r w:rsidDel="00000000" w:rsidR="00000000" w:rsidRPr="00000000">
        <w:rPr>
          <w:rtl w:val="0"/>
        </w:rPr>
        <w:t xml:space="preserve"> Registro detallado de los equipos instalados, su potencia nominal y las horas promedio de operación diaria.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Medición en sitio:</w:t>
      </w:r>
      <w:r w:rsidDel="00000000" w:rsidR="00000000" w:rsidRPr="00000000">
        <w:rPr>
          <w:rtl w:val="0"/>
        </w:rPr>
        <w:t xml:space="preserve"> Uso de analizadores de redes para monitorear el comportamiento eléctrico en tiempo real e identificar consumos fantasma (stand-by).</w:t>
      </w:r>
    </w:p>
    <w:p w:rsidR="00000000" w:rsidDel="00000000" w:rsidP="00000000" w:rsidRDefault="00000000" w:rsidRPr="00000000" w14:paraId="0000000A">
      <w:pPr>
        <w:pStyle w:val="Heading1"/>
        <w:rPr/>
      </w:pPr>
      <w:bookmarkStart w:colFirst="0" w:colLast="0" w:name="_mf0jger1ysis" w:id="3"/>
      <w:bookmarkEnd w:id="3"/>
      <w:r w:rsidDel="00000000" w:rsidR="00000000" w:rsidRPr="00000000">
        <w:rPr>
          <w:rtl w:val="0"/>
        </w:rPr>
        <w:t xml:space="preserve">2. Plan de Acciones Inmediatas (Bajo Costo)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Existen optimizaciones de alto impacto que no requieren grandes inversiones de capital y se enfocan en el cambio cultural y la gestión operativa.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Ajuste de hábitos operativos:</w:t>
      </w:r>
      <w:r w:rsidDel="00000000" w:rsidR="00000000" w:rsidRPr="00000000">
        <w:rPr>
          <w:rtl w:val="0"/>
        </w:rPr>
        <w:t xml:space="preserve"> Sensibilización del personal para el apagado de equipos fuera del horario laboral y optimización de la iluminación natural.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Mantenimiento preventivo:</w:t>
      </w:r>
      <w:r w:rsidDel="00000000" w:rsidR="00000000" w:rsidRPr="00000000">
        <w:rPr>
          <w:rtl w:val="0"/>
        </w:rPr>
        <w:t xml:space="preserve"> Limpieza periódica de filtros en sistemas de climatización, calibración de termostatos y revisión de aislamientos térmicos.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Sectorización de circuitos:</w:t>
      </w:r>
      <w:r w:rsidDel="00000000" w:rsidR="00000000" w:rsidRPr="00000000">
        <w:rPr>
          <w:rtl w:val="0"/>
        </w:rPr>
        <w:t xml:space="preserve"> Reorganización de tableros de iluminación y fuerza para activar únicamente los sectores en uso.</w:t>
      </w:r>
    </w:p>
    <w:p w:rsidR="00000000" w:rsidDel="00000000" w:rsidP="00000000" w:rsidRDefault="00000000" w:rsidRPr="00000000" w14:paraId="00000010">
      <w:pPr>
        <w:pStyle w:val="Heading1"/>
        <w:rPr/>
      </w:pPr>
      <w:bookmarkStart w:colFirst="0" w:colLast="0" w:name="_ichspcgnyo7h" w:id="4"/>
      <w:bookmarkEnd w:id="4"/>
      <w:r w:rsidDel="00000000" w:rsidR="00000000" w:rsidRPr="00000000">
        <w:rPr>
          <w:rtl w:val="0"/>
        </w:rPr>
        <w:t xml:space="preserve">3. Integración Tecnológica Eficiente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Para lograr reducciones sostenibles a mediano y largo plazo, se contempla la modernización tecnológica dirigida.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500.0" w:type="dxa"/>
        <w:jc w:val="left"/>
        <w:tblBorders>
          <w:top w:color="e2e8f0" w:space="0" w:sz="8" w:val="single"/>
          <w:left w:color="000000" w:space="0" w:sz="0" w:val="nil"/>
          <w:bottom w:color="e2e8f0" w:space="0" w:sz="8" w:val="single"/>
          <w:right w:color="000000" w:space="0" w:sz="0" w:val="nil"/>
          <w:insideH w:color="f1f5f9" w:space="0" w:sz="8" w:val="single"/>
          <w:insideV w:color="000000" w:space="0" w:sz="0" w:val="nil"/>
        </w:tblBorders>
        <w:tblLayout w:type="fixed"/>
        <w:tblLook w:val="0620"/>
      </w:tblPr>
      <w:tblGrid>
        <w:gridCol w:w="3500"/>
        <w:gridCol w:w="3500"/>
        <w:gridCol w:w="3500"/>
        <w:tblGridChange w:id="0">
          <w:tblGrid>
            <w:gridCol w:w="3500"/>
            <w:gridCol w:w="3500"/>
            <w:gridCol w:w="350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Tecnología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Descripción de Mejora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Impacto Estimado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Iluminación LED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Reemplazo de luminarias fluorescentes o halógenas por tecnología LED de alta eficiencia.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40% - 60% ahorro en iluminación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Variadores de Frecuencia (VFD)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Control de velocidad en motores eléctricos, bombas y ventiladores según la demanda real.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20% - 35% ahorro en fuerza electromotriz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Control Solar y Climatización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Instalación de termostatos inteligentes y películas de control térmico en ventanas.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15% - 25% ahorro en HVAC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Monitoreo IoT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Sensado continuo y automatización para gestión remota del consumo energético.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Detección inmediata de anomalías</w:t>
            </w:r>
          </w:p>
        </w:tc>
      </w:tr>
    </w:tbl>
    <w:p w:rsidR="00000000" w:rsidDel="00000000" w:rsidP="00000000" w:rsidRDefault="00000000" w:rsidRPr="00000000" w14:paraId="00000022">
      <w:pPr>
        <w:pStyle w:val="Heading1"/>
        <w:rPr/>
      </w:pPr>
      <w:bookmarkStart w:colFirst="0" w:colLast="0" w:name="_xrr87lagfurl" w:id="5"/>
      <w:bookmarkEnd w:id="5"/>
      <w:r w:rsidDel="00000000" w:rsidR="00000000" w:rsidRPr="00000000">
        <w:rPr>
          <w:rtl w:val="0"/>
        </w:rPr>
        <w:t xml:space="preserve">4. Checklist de Eficiencia Energética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Utilice la siguiente lista de verificación para evaluar el grado de avance en la implementación de sus medidas energéticas: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Recopilación y análisis de las últimas 12 facturas de servicios energéticos.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Inspección visual e inventario de equipos de climatización, iluminación y fuerza.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Identificación y eliminación de consumos en modo de espera (stand-by).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Reemplazo del 100% de la iluminación por tecnología LED.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Configuración optimizada de temperaturas en sistemas de aire acondicionado y calefacción.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Programación de mantenimientos preventivos a equipos críticos.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Evaluación de viabilidad para la incorporación de energías renovables o autogeneración.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Para una evaluación personalizada o asistencia técnica en la implementación de este plan, contacte al equipo de especialistas de ATEM Consultora.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color w:val="334155"/>
        <w:sz w:val="24"/>
        <w:szCs w:val="24"/>
        <w:lang w:val="es_419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76" w:lineRule="auto"/>
    </w:pPr>
    <w:rPr>
      <w:rFonts w:ascii="Inter" w:cs="Inter" w:eastAsia="Inter" w:hAnsi="Inter"/>
      <w:b w:val="1"/>
      <w:bCs w:val="1"/>
      <w:i w:val="0"/>
      <w:iCs w:val="0"/>
      <w:color w:val="0f172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76" w:lineRule="auto"/>
    </w:pPr>
    <w:rPr>
      <w:rFonts w:ascii="Inter" w:cs="Inter" w:eastAsia="Inter" w:hAnsi="Inter"/>
      <w:b w:val="1"/>
      <w:bCs w:val="1"/>
      <w:i w:val="0"/>
      <w:iCs w:val="0"/>
      <w:color w:val="0369a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76" w:lineRule="auto"/>
    </w:pPr>
    <w:rPr>
      <w:rFonts w:ascii="Inter" w:cs="Inter" w:eastAsia="Inter" w:hAnsi="Inter"/>
      <w:b w:val="1"/>
      <w:bCs w:val="1"/>
      <w:i w:val="0"/>
      <w:iCs w:val="0"/>
      <w:color w:val="334155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Inter" w:cs="Inter" w:eastAsia="Inter" w:hAnsi="Inter"/>
      <w:b w:val="1"/>
      <w:bCs w:val="1"/>
      <w:i w:val="0"/>
      <w:iCs w:val="0"/>
      <w:color w:val="0f172a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300" w:lineRule="auto"/>
    </w:pPr>
    <w:rPr>
      <w:rFonts w:ascii="Inter" w:cs="Inter" w:eastAsia="Inter" w:hAnsi="Inter"/>
      <w:b w:val="0"/>
      <w:bCs w:val="0"/>
      <w:i w:val="0"/>
      <w:iCs w:val="0"/>
      <w:color w:val="0284c7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  <w:tcPr>
      <w:shd w:fill="ffffff" w:val="clear"/>
    </w:tcPr>
    <w:tblStylePr w:type="firstRow">
      <w:rPr>
        <w:rFonts w:ascii="Inter" w:cs="Inter" w:eastAsia="Inter" w:hAnsi="Inter"/>
        <w:b w:val="1"/>
        <w:bCs w:val="1"/>
        <w:i w:val="0"/>
        <w:iCs w:val="0"/>
        <w:color w:val="0369a1"/>
        <w:sz w:val="24"/>
        <w:szCs w:val="24"/>
      </w:rPr>
      <w:tcPr>
        <w:shd w:fill="f0f9ff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